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851E" w14:textId="77777777" w:rsidR="00471D6A" w:rsidRPr="00471D6A" w:rsidRDefault="00471D6A" w:rsidP="00471D6A">
      <w:pPr>
        <w:shd w:val="clear" w:color="auto" w:fill="FFFFFF"/>
        <w:outlineLvl w:val="0"/>
        <w:rPr>
          <w:rFonts w:ascii="Lato" w:eastAsia="Times New Roman" w:hAnsi="Lato" w:cs="Times New Roman"/>
          <w:color w:val="CC3300"/>
          <w:kern w:val="36"/>
          <w:sz w:val="36"/>
          <w:szCs w:val="36"/>
          <w:lang w:eastAsia="fr-FR"/>
        </w:rPr>
      </w:pPr>
      <w:r w:rsidRPr="00471D6A">
        <w:rPr>
          <w:rFonts w:ascii="Lato" w:eastAsia="Times New Roman" w:hAnsi="Lato" w:cs="Times New Roman"/>
          <w:color w:val="CC3300"/>
          <w:kern w:val="36"/>
          <w:sz w:val="36"/>
          <w:szCs w:val="36"/>
          <w:lang w:eastAsia="fr-FR"/>
        </w:rPr>
        <w:t>Timide rebond pour le cuivre</w:t>
      </w:r>
    </w:p>
    <w:p w14:paraId="22D54DF3" w14:textId="77777777" w:rsidR="00471D6A" w:rsidRDefault="00471D6A" w:rsidP="00471D6A">
      <w:pPr>
        <w:shd w:val="clear" w:color="auto" w:fill="FFFFFF"/>
        <w:spacing w:before="75" w:after="75"/>
        <w:jc w:val="both"/>
        <w:rPr>
          <w:rFonts w:ascii="Lato" w:eastAsia="Times New Roman" w:hAnsi="Lato" w:cs="Times New Roman"/>
          <w:i/>
          <w:iCs/>
          <w:color w:val="000000"/>
          <w:sz w:val="23"/>
          <w:szCs w:val="23"/>
          <w:lang w:eastAsia="fr-FR"/>
        </w:rPr>
      </w:pPr>
    </w:p>
    <w:p w14:paraId="24B1E893" w14:textId="09732EC1" w:rsidR="00471D6A" w:rsidRPr="00471D6A" w:rsidRDefault="00471D6A" w:rsidP="00471D6A">
      <w:pPr>
        <w:shd w:val="clear" w:color="auto" w:fill="FFFFFF"/>
        <w:spacing w:before="75" w:after="75"/>
        <w:jc w:val="both"/>
        <w:rPr>
          <w:rFonts w:ascii="Lato" w:eastAsia="Times New Roman" w:hAnsi="Lato" w:cs="Times New Roman"/>
          <w:color w:val="000000"/>
          <w:sz w:val="23"/>
          <w:szCs w:val="23"/>
          <w:lang w:eastAsia="fr-FR"/>
        </w:rPr>
      </w:pPr>
      <w:r w:rsidRPr="00471D6A">
        <w:rPr>
          <w:rFonts w:ascii="Lato" w:eastAsia="Times New Roman" w:hAnsi="Lato" w:cs="Times New Roman"/>
          <w:color w:val="000000"/>
          <w:sz w:val="23"/>
          <w:szCs w:val="23"/>
          <w:lang w:eastAsia="fr-FR"/>
        </w:rPr>
        <w:t>Le cuivre s’est sensiblement redressé ce matin, sans que ce ne soit toutefois suffisant pour enrayer les pertes enregistrées sur la semaine. Les craintes de flambée des contaminations en Chine continuent de miner le marché, et à cela viennent s’ajouter les relèvements de taux des banques centrales, destinés à lutter contre l’inflation, mais qui ont pour effet secondaire de saper l’économie.</w:t>
      </w:r>
    </w:p>
    <w:p w14:paraId="583416BC" w14:textId="77777777" w:rsidR="00471D6A" w:rsidRPr="00471D6A" w:rsidRDefault="00471D6A" w:rsidP="00471D6A">
      <w:pPr>
        <w:shd w:val="clear" w:color="auto" w:fill="FFFFFF"/>
        <w:spacing w:before="75" w:after="75"/>
        <w:jc w:val="both"/>
        <w:rPr>
          <w:rFonts w:ascii="Lato" w:eastAsia="Times New Roman" w:hAnsi="Lato" w:cs="Times New Roman"/>
          <w:color w:val="000000"/>
          <w:sz w:val="23"/>
          <w:szCs w:val="23"/>
          <w:lang w:eastAsia="fr-FR"/>
        </w:rPr>
      </w:pPr>
      <w:r w:rsidRPr="00471D6A">
        <w:rPr>
          <w:rFonts w:ascii="Lato" w:eastAsia="Times New Roman" w:hAnsi="Lato" w:cs="Times New Roman"/>
          <w:color w:val="000000"/>
          <w:sz w:val="23"/>
          <w:szCs w:val="23"/>
          <w:lang w:eastAsia="fr-FR"/>
        </w:rPr>
        <w:t>Le cuivre pour livraison à 3 mois affiche une progression de 0,5 % depuis l’ouverture, mais un repli de 2,4 % depuis le début de la semaine.</w:t>
      </w:r>
    </w:p>
    <w:p w14:paraId="61590123" w14:textId="77777777" w:rsidR="00471D6A" w:rsidRPr="00471D6A" w:rsidRDefault="00471D6A" w:rsidP="00471D6A">
      <w:pPr>
        <w:shd w:val="clear" w:color="auto" w:fill="FFFFFF"/>
        <w:spacing w:before="75" w:after="75"/>
        <w:jc w:val="both"/>
        <w:rPr>
          <w:rFonts w:ascii="Lato" w:eastAsia="Times New Roman" w:hAnsi="Lato" w:cs="Times New Roman"/>
          <w:color w:val="000000"/>
          <w:sz w:val="23"/>
          <w:szCs w:val="23"/>
          <w:lang w:eastAsia="fr-FR"/>
        </w:rPr>
      </w:pPr>
      <w:r w:rsidRPr="00471D6A">
        <w:rPr>
          <w:rFonts w:ascii="Lato" w:eastAsia="Times New Roman" w:hAnsi="Lato" w:cs="Times New Roman"/>
          <w:color w:val="000000"/>
          <w:sz w:val="23"/>
          <w:szCs w:val="23"/>
          <w:lang w:eastAsia="fr-FR"/>
        </w:rPr>
        <w:t>« </w:t>
      </w:r>
      <w:r w:rsidRPr="00471D6A">
        <w:rPr>
          <w:rFonts w:ascii="Lato" w:eastAsia="Times New Roman" w:hAnsi="Lato" w:cs="Times New Roman"/>
          <w:i/>
          <w:iCs/>
          <w:color w:val="000000"/>
          <w:sz w:val="23"/>
          <w:szCs w:val="23"/>
          <w:lang w:eastAsia="fr-FR"/>
        </w:rPr>
        <w:t>A l’approche de la fin d’année, et du début de l'année prochaine, nous estimons que la plus grande inconnue demeure la reprise économique de la Chine, et plus précisément son timing</w:t>
      </w:r>
      <w:r w:rsidRPr="00471D6A">
        <w:rPr>
          <w:rFonts w:ascii="Lato" w:eastAsia="Times New Roman" w:hAnsi="Lato" w:cs="Times New Roman"/>
          <w:color w:val="000000"/>
          <w:sz w:val="23"/>
          <w:szCs w:val="23"/>
          <w:lang w:eastAsia="fr-FR"/>
        </w:rPr>
        <w:t xml:space="preserve"> », explique Natalie Scott-Gray, analyste pour </w:t>
      </w:r>
      <w:proofErr w:type="spellStart"/>
      <w:r w:rsidRPr="00471D6A">
        <w:rPr>
          <w:rFonts w:ascii="Lato" w:eastAsia="Times New Roman" w:hAnsi="Lato" w:cs="Times New Roman"/>
          <w:color w:val="000000"/>
          <w:sz w:val="23"/>
          <w:szCs w:val="23"/>
          <w:lang w:eastAsia="fr-FR"/>
        </w:rPr>
        <w:t>StoneX</w:t>
      </w:r>
      <w:proofErr w:type="spellEnd"/>
      <w:r w:rsidRPr="00471D6A">
        <w:rPr>
          <w:rFonts w:ascii="Lato" w:eastAsia="Times New Roman" w:hAnsi="Lato" w:cs="Times New Roman"/>
          <w:color w:val="000000"/>
          <w:sz w:val="23"/>
          <w:szCs w:val="23"/>
          <w:lang w:eastAsia="fr-FR"/>
        </w:rPr>
        <w:t xml:space="preserve"> </w:t>
      </w:r>
      <w:proofErr w:type="spellStart"/>
      <w:r w:rsidRPr="00471D6A">
        <w:rPr>
          <w:rFonts w:ascii="Lato" w:eastAsia="Times New Roman" w:hAnsi="Lato" w:cs="Times New Roman"/>
          <w:color w:val="000000"/>
          <w:sz w:val="23"/>
          <w:szCs w:val="23"/>
          <w:lang w:eastAsia="fr-FR"/>
        </w:rPr>
        <w:t>financial</w:t>
      </w:r>
      <w:proofErr w:type="spellEnd"/>
      <w:r w:rsidRPr="00471D6A">
        <w:rPr>
          <w:rFonts w:ascii="Lato" w:eastAsia="Times New Roman" w:hAnsi="Lato" w:cs="Times New Roman"/>
          <w:color w:val="000000"/>
          <w:sz w:val="23"/>
          <w:szCs w:val="23"/>
          <w:lang w:eastAsia="fr-FR"/>
        </w:rPr>
        <w:t xml:space="preserve"> Ltd.</w:t>
      </w:r>
    </w:p>
    <w:p w14:paraId="2E8D8990" w14:textId="77777777" w:rsidR="00471D6A" w:rsidRPr="00471D6A" w:rsidRDefault="00471D6A" w:rsidP="00471D6A">
      <w:pPr>
        <w:shd w:val="clear" w:color="auto" w:fill="FFFFFF"/>
        <w:spacing w:before="75" w:after="75"/>
        <w:jc w:val="both"/>
        <w:rPr>
          <w:rFonts w:ascii="Lato" w:eastAsia="Times New Roman" w:hAnsi="Lato" w:cs="Times New Roman"/>
          <w:color w:val="000000"/>
          <w:sz w:val="23"/>
          <w:szCs w:val="23"/>
          <w:lang w:eastAsia="fr-FR"/>
        </w:rPr>
      </w:pPr>
      <w:r w:rsidRPr="00471D6A">
        <w:rPr>
          <w:rFonts w:ascii="Lato" w:eastAsia="Times New Roman" w:hAnsi="Lato" w:cs="Times New Roman"/>
          <w:color w:val="000000"/>
          <w:sz w:val="23"/>
          <w:szCs w:val="23"/>
          <w:lang w:eastAsia="fr-FR"/>
        </w:rPr>
        <w:t>Les efforts menés par la Chine pour doper sa croissance économique ne seront pas visibles à court terme, d’après l’analyste. Le pays a mis en place des mesures pour relancer son secteur immobilier et envisage d’en annoncer d’autres dans le but de regagner la confiance du marché.</w:t>
      </w:r>
    </w:p>
    <w:p w14:paraId="06E317BB" w14:textId="77777777" w:rsidR="00471D6A" w:rsidRPr="00471D6A" w:rsidRDefault="00471D6A" w:rsidP="00471D6A">
      <w:pPr>
        <w:shd w:val="clear" w:color="auto" w:fill="FFFFFF"/>
        <w:spacing w:before="75" w:after="75"/>
        <w:jc w:val="both"/>
        <w:rPr>
          <w:rFonts w:ascii="Lato" w:eastAsia="Times New Roman" w:hAnsi="Lato" w:cs="Times New Roman"/>
          <w:color w:val="000000"/>
          <w:sz w:val="23"/>
          <w:szCs w:val="23"/>
          <w:lang w:eastAsia="fr-FR"/>
        </w:rPr>
      </w:pPr>
      <w:r w:rsidRPr="00471D6A">
        <w:rPr>
          <w:rFonts w:ascii="Lato" w:eastAsia="Times New Roman" w:hAnsi="Lato" w:cs="Times New Roman"/>
          <w:color w:val="000000"/>
          <w:sz w:val="23"/>
          <w:szCs w:val="23"/>
          <w:lang w:eastAsia="fr-FR"/>
        </w:rPr>
        <w:t>La Chine accélère par ailleurs sa campagne de vaccination pour les personnes vulnérables, mais les analystes craignent une envolée du taux de mortalité, suite à la levée des restrictions qui s’appliquaient jusqu’il y a peu.</w:t>
      </w:r>
    </w:p>
    <w:p w14:paraId="5112202C" w14:textId="77777777" w:rsidR="00471D6A" w:rsidRPr="00471D6A" w:rsidRDefault="00471D6A" w:rsidP="00471D6A">
      <w:pPr>
        <w:shd w:val="clear" w:color="auto" w:fill="FFFFFF"/>
        <w:spacing w:before="75" w:after="75"/>
        <w:jc w:val="both"/>
        <w:rPr>
          <w:rFonts w:ascii="Lato" w:eastAsia="Times New Roman" w:hAnsi="Lato" w:cs="Times New Roman"/>
          <w:color w:val="000000"/>
          <w:sz w:val="23"/>
          <w:szCs w:val="23"/>
          <w:lang w:eastAsia="fr-FR"/>
        </w:rPr>
      </w:pPr>
      <w:r w:rsidRPr="00471D6A">
        <w:rPr>
          <w:rFonts w:ascii="Lato" w:eastAsia="Times New Roman" w:hAnsi="Lato" w:cs="Times New Roman"/>
          <w:color w:val="000000"/>
          <w:sz w:val="23"/>
          <w:szCs w:val="23"/>
          <w:lang w:eastAsia="fr-FR"/>
        </w:rPr>
        <w:t> </w:t>
      </w:r>
    </w:p>
    <w:p w14:paraId="33BBE06F"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6A"/>
    <w:rsid w:val="000F156F"/>
    <w:rsid w:val="00471D6A"/>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6595CD9"/>
  <w15:chartTrackingRefBased/>
  <w15:docId w15:val="{C78432B4-8F6F-EC46-8CA7-C8F49CED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1D6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1D6A"/>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471D6A"/>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471D6A"/>
    <w:rPr>
      <w:color w:val="0000FF"/>
      <w:u w:val="single"/>
    </w:rPr>
  </w:style>
  <w:style w:type="paragraph" w:styleId="NormalWeb">
    <w:name w:val="Normal (Web)"/>
    <w:basedOn w:val="Normal"/>
    <w:uiPriority w:val="99"/>
    <w:semiHidden/>
    <w:unhideWhenUsed/>
    <w:rsid w:val="00471D6A"/>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471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1121</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2022-12-16T08:11:00Z</dcterms:created>
  <dcterms:modified xsi:type="dcterms:W3CDTF">2022-12-16T08:11:00Z</dcterms:modified>
</cp:coreProperties>
</file>